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1"/>
      </w:pPr>
      <w:r/>
      <w:r/>
    </w:p>
    <w:tbl>
      <w:tblPr>
        <w:tblW w:w="966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3428"/>
        <w:gridCol w:w="6236"/>
      </w:tblGrid>
      <w:tr>
        <w:tblPrEx/>
        <w:trPr>
          <w:trHeight w:val="2774"/>
        </w:trPr>
        <w:tc>
          <w:tcPr>
            <w:tcW w:w="3428" w:type="dxa"/>
            <w:textDirection w:val="lrTb"/>
            <w:noWrap w:val="false"/>
          </w:tcPr>
          <w:p>
            <w:pPr>
              <w:pStyle w:val="873"/>
              <w:jc w:val="both"/>
              <w:spacing w:before="0" w:beforeAutospacing="0" w:after="0" w:afterAutospacing="0" w:line="240" w:lineRule="atLeast"/>
              <w:widowControl w:val="off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31365" cy="2278380"/>
                      <wp:effectExtent l="0" t="0" r="0" b="0"/>
                      <wp:docPr id="1" name="Picture 2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6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31365" cy="22783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9.95pt;height:179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             </w:t>
            </w:r>
            <w:r/>
          </w:p>
        </w:tc>
        <w:tc>
          <w:tcPr>
            <w:tcW w:w="6236" w:type="dxa"/>
            <w:textDirection w:val="lrTb"/>
            <w:noWrap w:val="false"/>
          </w:tcPr>
          <w:p>
            <w:pPr>
              <w:pStyle w:val="801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пресс-служба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Управления Росреестра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по Нижегородской области </w:t>
              <w:br/>
              <w:t xml:space="preserve">                603950 Нижний Новгород,</w:t>
              <w:br/>
              <w:t xml:space="preserve">                 ул. Малая Ямская, д. 78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ind w:left="1" w:hanging="3"/>
              <w:jc w:val="center"/>
              <w:widowControl w:val="off"/>
              <w:rPr>
                <w:color w:val="000000"/>
              </w:rPr>
            </w:pPr>
            <w:r>
              <w:t xml:space="preserve">              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2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Изображение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0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t xml:space="preserve">  </w:t>
            </w:r>
            <w:r>
              <w:rPr>
                <w:color w:val="000000"/>
              </w:rPr>
              <w:t xml:space="preserve">8 (831) 430-16-08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widowControl w:val="off"/>
              <w:tabs>
                <w:tab w:val="left" w:pos="330" w:leader="none"/>
                <w:tab w:val="clear" w:pos="708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widowControl w:val="off"/>
              <w:tabs>
                <w:tab w:val="left" w:pos="330" w:leader="none"/>
                <w:tab w:val="clear" w:pos="708" w:leader="none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930" cy="70993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392943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09929" cy="7099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5.90pt;height:55.9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0725" cy="720725"/>
                      <wp:effectExtent l="0" t="0" r="0" b="0"/>
                      <wp:docPr id="4" name="Рисунок 5" descr="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5" descr="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724" cy="72072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56.75pt;height:56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930" cy="709930"/>
                      <wp:effectExtent l="0" t="0" r="0" b="0"/>
                      <wp:docPr id="5" name="Рисунок 2" descr="дзе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2" descr="дзен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9930" cy="7099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55.90pt;height:55.9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8185" cy="718185"/>
                      <wp:effectExtent l="0" t="0" r="0" b="0"/>
                      <wp:docPr id="6" name="Рисунок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4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18185" cy="7181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56.55pt;height:56.5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01"/>
              <w:ind w:left="1" w:hanging="3"/>
              <w:jc w:val="center"/>
              <w:widowControl w:val="o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873"/>
              <w:ind w:left="-300" w:right="355" w:firstLine="0"/>
              <w:spacing w:before="0" w:beforeAutospacing="0" w:after="0" w:afterAutospacing="0"/>
              <w:shd w:val="clear" w:color="auto" w:fill="ffffff"/>
              <w:widowControl w:val="off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>
              <w:t xml:space="preserve">  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/>
          </w:p>
        </w:tc>
      </w:tr>
    </w:tbl>
    <w:p>
      <w:r/>
      <w:r/>
    </w:p>
    <w:p>
      <w:pPr>
        <w:ind w:left="0" w:right="0" w:firstLine="567"/>
        <w:jc w:val="center"/>
        <w:spacing w:line="36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center"/>
        <w:spacing w:line="360" w:lineRule="auto"/>
      </w:pPr>
      <w:r>
        <w:rPr>
          <w:b/>
          <w:bCs/>
          <w:sz w:val="28"/>
          <w:szCs w:val="28"/>
          <w:highlight w:val="none"/>
        </w:rPr>
        <w:t xml:space="preserve">Газ в каждый дом: </w:t>
      </w:r>
      <w:r>
        <w:rPr>
          <w:b/>
          <w:bCs/>
          <w:sz w:val="28"/>
          <w:szCs w:val="28"/>
          <w:highlight w:val="none"/>
        </w:rPr>
        <w:t xml:space="preserve">Нижегородская область подключает СНТ к газу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left"/>
        <w:spacing w:line="36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Управление Росреестра по Нижегород</w:t>
      </w:r>
      <w:r>
        <w:rPr>
          <w:sz w:val="28"/>
          <w:szCs w:val="28"/>
        </w:rPr>
        <w:t xml:space="preserve">ской области отмечает высокую динамику реализации программы догазификации садоводческих некоммерческих товариществ (СНТ). На сегодняшний день принято 3 843 заявки от жителей региона, и эта цифра каждый день растет, что свидетельствует </w:t>
        <w:br/>
        <w:t xml:space="preserve">о востребованности п</w:t>
      </w:r>
      <w:r>
        <w:rPr>
          <w:sz w:val="28"/>
          <w:szCs w:val="28"/>
        </w:rPr>
        <w:t xml:space="preserve">рограммы и активной позиции граждан.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ведомство обращает на стабильный рост договорной работы. По информации </w:t>
      </w:r>
      <w:r>
        <w:rPr>
          <w:sz w:val="28"/>
          <w:szCs w:val="28"/>
        </w:rPr>
        <w:t xml:space="preserve">Министерства энергетики и жилищно-коммунального хозяйства Нижегородской области</w:t>
      </w:r>
      <w:r>
        <w:rPr>
          <w:sz w:val="28"/>
          <w:szCs w:val="28"/>
        </w:rPr>
        <w:t xml:space="preserve"> к настоящему моменту заключено более 3 600 договоров о подключении к газовым сетям, что составляет 96% от числа поданных заявок. Это подтверждает высокий уровень доверия жителей к механизмам </w:t>
      </w:r>
      <w:r>
        <w:rPr>
          <w:sz w:val="28"/>
          <w:szCs w:val="28"/>
        </w:rPr>
        <w:t xml:space="preserve">программы и эффективность работы операторов.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Ключевой показатель реализации - доведение газа до границ земельных участков. Исполнено уже 659 договоров, что составляет 17% от общего числа заключенных соглашений. </w:t>
      </w:r>
      <w:r>
        <w:rPr>
          <w:i/>
          <w:iCs/>
          <w:sz w:val="28"/>
          <w:szCs w:val="28"/>
        </w:rPr>
        <w:t xml:space="preserve">«Этот показатель особенно важен, так как фиксирует переход от планов к реальному подключени</w:t>
      </w:r>
      <w:r>
        <w:rPr>
          <w:i/>
          <w:iCs/>
          <w:sz w:val="28"/>
          <w:szCs w:val="28"/>
        </w:rPr>
        <w:t xml:space="preserve">ю»</w:t>
      </w:r>
      <w:r>
        <w:rPr>
          <w:sz w:val="28"/>
          <w:szCs w:val="28"/>
        </w:rPr>
        <w:t xml:space="preserve">, - отметили в </w:t>
      </w:r>
      <w:r>
        <w:rPr>
          <w:sz w:val="28"/>
          <w:szCs w:val="28"/>
        </w:rPr>
        <w:t xml:space="preserve">Министерстве энергетики и жилищно-коммунального хозяйства Нижегородской области</w:t>
      </w:r>
      <w:r>
        <w:rPr>
          <w:b/>
          <w:bCs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bCs/>
          <w:i/>
          <w:sz w:val="28"/>
          <w:szCs w:val="28"/>
          <w:highlight w:val="none"/>
        </w:rPr>
      </w:pPr>
      <w:r>
        <w:rPr>
          <w:sz w:val="28"/>
          <w:szCs w:val="28"/>
        </w:rPr>
        <w:t xml:space="preserve">Заместитель руководителя Нижегородского Росреестра </w:t>
      </w:r>
      <w:r>
        <w:rPr>
          <w:b/>
          <w:bCs/>
          <w:sz w:val="28"/>
          <w:szCs w:val="28"/>
        </w:rPr>
        <w:t xml:space="preserve">Екатерина Голованова</w:t>
      </w:r>
      <w:r>
        <w:rPr>
          <w:sz w:val="28"/>
          <w:szCs w:val="28"/>
        </w:rPr>
        <w:t xml:space="preserve"> подчеркивает: </w:t>
      </w:r>
      <w:r>
        <w:rPr>
          <w:i/>
          <w:iCs/>
          <w:sz w:val="28"/>
          <w:szCs w:val="28"/>
        </w:rPr>
        <w:t xml:space="preserve">«Рост показателей исполнения договоров  демонстрирует успешную синергию ресурсоснабжающих организаций и региональных властей. Работа по подключению оставшихся объектов продолжается в плановом режиме, что обеспечивает</w:t>
      </w:r>
      <w:r>
        <w:rPr>
          <w:i/>
          <w:iCs/>
          <w:sz w:val="28"/>
          <w:szCs w:val="28"/>
        </w:rPr>
        <w:t xml:space="preserve"> выполнение социальных обязательств перед жителями области».</w:t>
      </w:r>
      <w:r>
        <w:rPr>
          <w:bCs/>
          <w:i/>
          <w:sz w:val="28"/>
          <w:szCs w:val="28"/>
          <w:highlight w:val="none"/>
        </w:rPr>
      </w:r>
      <w:r>
        <w:rPr>
          <w:bCs/>
          <w:i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highlight w:val="none"/>
        </w:rPr>
      </w:r>
      <w:r>
        <w:rPr>
          <w:i w:val="0"/>
          <w:iCs w:val="0"/>
          <w:sz w:val="28"/>
          <w:szCs w:val="28"/>
          <w:highlight w:val="none"/>
        </w:rPr>
        <w:t xml:space="preserve">За реализацию программы отвечает Единый оператор газификации -</w:t>
        <w:br/>
        <w:t xml:space="preserve"> ООО «Газпром газификация». Это единый центр ответственности по вопросам подключения домовладений к газораспределительным сетям. Оператор координирует работу всех региональных газовых компаний.</w:t>
      </w:r>
      <w:r>
        <w:rPr>
          <w:i w:val="0"/>
          <w:iCs w:val="0"/>
          <w:sz w:val="28"/>
          <w:szCs w:val="28"/>
          <w:highlight w:val="none"/>
        </w:rPr>
        <w:t xml:space="preserve"> Подробнее о ньюансах догазификации можно узнать на их сайте </w:t>
      </w:r>
      <w:r>
        <w:rPr>
          <w:i w:val="0"/>
          <w:iCs w:val="0"/>
          <w:sz w:val="28"/>
          <w:szCs w:val="28"/>
          <w:highlight w:val="none"/>
        </w:rPr>
        <w:t xml:space="preserve">https://connectgas.ru/.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991" w:bottom="284" w:left="99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OpenSymbol">
    <w:panose1 w:val="05010000000000000000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right"/>
      <w:pPr>
        <w:ind w:left="720" w:hanging="174"/>
        <w:tabs>
          <w:tab w:val="num" w:pos="720" w:leader="none"/>
        </w:tabs>
      </w:pPr>
      <w:rPr>
        <w:rFonts w:hint="default" w:ascii="Symbol" w:hAnsi="Symbol" w:eastAsia="Symbol" w:cs="Symbol"/>
      </w:rPr>
    </w:lvl>
    <w:lvl w:ilvl="1">
      <w:start w:val="1"/>
      <w:numFmt w:val="upp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lowerLetter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lowerRoman"/>
      <w:isLgl w:val="false"/>
      <w:suff w:val="tab"/>
      <w:lvlText w:val="%5."/>
      <w:lvlJc w:val="right"/>
      <w:pPr>
        <w:ind w:left="2160" w:hanging="174"/>
        <w:tabs>
          <w:tab w:val="num" w:pos="2160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74">
    <w:name w:val="No List"/>
    <w:uiPriority w:val="99"/>
    <w:semiHidden/>
    <w:unhideWhenUsed/>
  </w:style>
  <w:style w:type="table" w:styleId="67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02">
    <w:name w:val="Heading 1"/>
    <w:basedOn w:val="801"/>
    <w:uiPriority w:val="9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803">
    <w:name w:val="Heading 2"/>
    <w:basedOn w:val="80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Arial" w:cs="Arial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804">
    <w:name w:val="Heading 3"/>
    <w:basedOn w:val="80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Arial" w:cs="Arial" w:asciiTheme="majorHAnsi" w:hAnsiTheme="majorHAnsi" w:eastAsiaTheme="majorEastAsia" w:cstheme="majorBidi"/>
      <w:color w:val="243f60" w:themeColor="accent1" w:themeShade="7F"/>
    </w:rPr>
  </w:style>
  <w:style w:type="paragraph" w:styleId="805">
    <w:name w:val="Heading 4"/>
    <w:basedOn w:val="8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6">
    <w:name w:val="Heading 5"/>
    <w:basedOn w:val="8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7">
    <w:name w:val="Heading 6"/>
    <w:basedOn w:val="8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8">
    <w:name w:val="Heading 7"/>
    <w:basedOn w:val="8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8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0">
    <w:name w:val="Heading 9"/>
    <w:basedOn w:val="8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1">
    <w:name w:val="Heading 1 Char"/>
    <w:basedOn w:val="833"/>
    <w:uiPriority w:val="9"/>
    <w:qFormat/>
    <w:rPr>
      <w:rFonts w:ascii="Arial" w:hAnsi="Arial" w:eastAsia="Arial" w:cs="Arial"/>
      <w:sz w:val="40"/>
      <w:szCs w:val="40"/>
    </w:rPr>
  </w:style>
  <w:style w:type="character" w:styleId="812">
    <w:name w:val="Heading 2 Char"/>
    <w:basedOn w:val="833"/>
    <w:uiPriority w:val="9"/>
    <w:qFormat/>
    <w:rPr>
      <w:rFonts w:ascii="Arial" w:hAnsi="Arial" w:eastAsia="Arial" w:cs="Arial"/>
      <w:sz w:val="34"/>
    </w:rPr>
  </w:style>
  <w:style w:type="character" w:styleId="813">
    <w:name w:val="Heading 3 Char"/>
    <w:basedOn w:val="833"/>
    <w:uiPriority w:val="9"/>
    <w:qFormat/>
    <w:rPr>
      <w:rFonts w:ascii="Arial" w:hAnsi="Arial" w:eastAsia="Arial" w:cs="Arial"/>
      <w:sz w:val="30"/>
      <w:szCs w:val="30"/>
    </w:rPr>
  </w:style>
  <w:style w:type="character" w:styleId="814">
    <w:name w:val="Heading 4 Char"/>
    <w:basedOn w:val="83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5">
    <w:name w:val="Heading 5 Char"/>
    <w:basedOn w:val="83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6">
    <w:name w:val="Heading 6 Char"/>
    <w:basedOn w:val="83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7">
    <w:name w:val="Heading 7 Char"/>
    <w:basedOn w:val="83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8">
    <w:name w:val="Heading 8 Char"/>
    <w:basedOn w:val="83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9">
    <w:name w:val="Heading 9 Char"/>
    <w:basedOn w:val="83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0">
    <w:name w:val="Title Char"/>
    <w:basedOn w:val="833"/>
    <w:uiPriority w:val="10"/>
    <w:qFormat/>
    <w:rPr>
      <w:sz w:val="48"/>
      <w:szCs w:val="48"/>
    </w:rPr>
  </w:style>
  <w:style w:type="character" w:styleId="821">
    <w:name w:val="Subtitle Char"/>
    <w:basedOn w:val="833"/>
    <w:uiPriority w:val="11"/>
    <w:qFormat/>
    <w:rPr>
      <w:sz w:val="24"/>
      <w:szCs w:val="24"/>
    </w:rPr>
  </w:style>
  <w:style w:type="character" w:styleId="822">
    <w:name w:val="Quote Char"/>
    <w:uiPriority w:val="29"/>
    <w:qFormat/>
    <w:rPr>
      <w:i/>
    </w:rPr>
  </w:style>
  <w:style w:type="character" w:styleId="823">
    <w:name w:val="Intense Quote Char"/>
    <w:uiPriority w:val="30"/>
    <w:qFormat/>
    <w:rPr>
      <w:i/>
    </w:rPr>
  </w:style>
  <w:style w:type="character" w:styleId="824">
    <w:name w:val="Header Char"/>
    <w:basedOn w:val="833"/>
    <w:uiPriority w:val="99"/>
    <w:qFormat/>
  </w:style>
  <w:style w:type="character" w:styleId="825">
    <w:name w:val="Footer Char"/>
    <w:basedOn w:val="833"/>
    <w:uiPriority w:val="99"/>
    <w:qFormat/>
  </w:style>
  <w:style w:type="character" w:styleId="826">
    <w:name w:val="Caption Char"/>
    <w:uiPriority w:val="99"/>
    <w:qFormat/>
  </w:style>
  <w:style w:type="character" w:styleId="827">
    <w:name w:val="Footnote Text Char"/>
    <w:uiPriority w:val="99"/>
    <w:qFormat/>
    <w:rPr>
      <w:sz w:val="18"/>
    </w:rPr>
  </w:style>
  <w:style w:type="character" w:styleId="828">
    <w:name w:val="Символ сноски"/>
    <w:uiPriority w:val="99"/>
    <w:unhideWhenUsed/>
    <w:qFormat/>
    <w:rPr>
      <w:vertAlign w:val="superscript"/>
    </w:rPr>
  </w:style>
  <w:style w:type="character" w:styleId="829">
    <w:name w:val="footnote reference"/>
    <w:rPr>
      <w:vertAlign w:val="superscript"/>
    </w:rPr>
  </w:style>
  <w:style w:type="character" w:styleId="830">
    <w:name w:val="Endnote Text Char"/>
    <w:uiPriority w:val="99"/>
    <w:qFormat/>
    <w:rPr>
      <w:sz w:val="20"/>
    </w:rPr>
  </w:style>
  <w:style w:type="character" w:styleId="83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2">
    <w:name w:val="endnote reference"/>
    <w:rPr>
      <w:vertAlign w:val="superscript"/>
    </w:rPr>
  </w:style>
  <w:style w:type="character" w:styleId="833" w:default="1">
    <w:name w:val="Default Paragraph Font"/>
    <w:uiPriority w:val="1"/>
    <w:semiHidden/>
    <w:unhideWhenUsed/>
    <w:qFormat/>
  </w:style>
  <w:style w:type="character" w:styleId="834" w:customStyle="1">
    <w:name w:val="Заголовок 1 Знак"/>
    <w:uiPriority w:val="99"/>
    <w:qFormat/>
    <w:rPr>
      <w:rFonts w:cs="Times New Roman"/>
      <w:b/>
      <w:bCs/>
      <w:sz w:val="48"/>
      <w:szCs w:val="48"/>
    </w:rPr>
  </w:style>
  <w:style w:type="character" w:styleId="835">
    <w:name w:val="Hyperlink"/>
    <w:uiPriority w:val="99"/>
    <w:rPr>
      <w:rFonts w:cs="Times New Roman"/>
      <w:color w:val="0000ff"/>
      <w:u w:val="single"/>
    </w:rPr>
  </w:style>
  <w:style w:type="character" w:styleId="836" w:customStyle="1">
    <w:name w:val="apple-tab-span"/>
    <w:uiPriority w:val="99"/>
    <w:qFormat/>
    <w:rPr>
      <w:rFonts w:cs="Times New Roman"/>
    </w:rPr>
  </w:style>
  <w:style w:type="character" w:styleId="837" w:customStyle="1">
    <w:name w:val="Текст выноски Знак"/>
    <w:uiPriority w:val="99"/>
    <w:qFormat/>
    <w:rPr>
      <w:rFonts w:ascii="Segoe UI" w:hAnsi="Segoe UI"/>
      <w:sz w:val="18"/>
    </w:rPr>
  </w:style>
  <w:style w:type="character" w:styleId="838">
    <w:name w:val="FollowedHyperlink"/>
    <w:basedOn w:val="833"/>
    <w:uiPriority w:val="99"/>
    <w:semiHidden/>
    <w:unhideWhenUsed/>
    <w:rPr>
      <w:color w:val="800080" w:themeColor="followedHyperlink"/>
      <w:u w:val="single"/>
    </w:rPr>
  </w:style>
  <w:style w:type="character" w:styleId="839" w:customStyle="1">
    <w:name w:val="Заголовок 2 Знак"/>
    <w:basedOn w:val="833"/>
    <w:semiHidden/>
    <w:qFormat/>
    <w:rPr>
      <w:rFonts w:ascii="Cambria" w:hAnsi="Cambria" w:eastAsia="Arial" w:cs="Arial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40" w:customStyle="1">
    <w:name w:val="css-96zuhp-word-diff"/>
    <w:basedOn w:val="833"/>
    <w:qFormat/>
  </w:style>
  <w:style w:type="character" w:styleId="841" w:customStyle="1">
    <w:name w:val="Заголовок 3 Знак"/>
    <w:basedOn w:val="833"/>
    <w:semiHidden/>
    <w:qFormat/>
    <w:rPr>
      <w:rFonts w:ascii="Cambria" w:hAnsi="Cambria" w:eastAsia="Arial" w:cs="Arial"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842">
    <w:name w:val="Символ нумерации"/>
    <w:qFormat/>
  </w:style>
  <w:style w:type="character" w:styleId="843">
    <w:name w:val="Маркеры"/>
    <w:qFormat/>
    <w:rPr>
      <w:rFonts w:ascii="OpenSymbol" w:hAnsi="OpenSymbol" w:eastAsia="OpenSymbol" w:cs="OpenSymbol"/>
    </w:rPr>
  </w:style>
  <w:style w:type="paragraph" w:styleId="844">
    <w:name w:val="Заголовок"/>
    <w:basedOn w:val="801"/>
    <w:next w:val="84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45">
    <w:name w:val="Body Text"/>
    <w:basedOn w:val="801"/>
    <w:pPr>
      <w:spacing w:before="0" w:after="140" w:line="276" w:lineRule="auto"/>
    </w:pPr>
  </w:style>
  <w:style w:type="paragraph" w:styleId="846">
    <w:name w:val="List"/>
    <w:basedOn w:val="845"/>
    <w:rPr>
      <w:rFonts w:ascii="PT Astra Serif" w:hAnsi="PT Astra Serif" w:cs="Noto Sans Devanagari"/>
    </w:rPr>
  </w:style>
  <w:style w:type="paragraph" w:styleId="847">
    <w:name w:val="Caption"/>
    <w:basedOn w:val="8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8">
    <w:name w:val="Указатель"/>
    <w:basedOn w:val="801"/>
    <w:qFormat/>
    <w:pPr>
      <w:suppressLineNumbers/>
    </w:pPr>
    <w:rPr>
      <w:rFonts w:ascii="PT Astra Serif" w:hAnsi="PT Astra Serif" w:cs="Noto Sans Devanagari"/>
    </w:rPr>
  </w:style>
  <w:style w:type="paragraph" w:styleId="849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ru-RU" w:bidi="ar-SA"/>
    </w:rPr>
  </w:style>
  <w:style w:type="paragraph" w:styleId="850">
    <w:name w:val="Title"/>
    <w:basedOn w:val="80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51">
    <w:name w:val="Subtitle"/>
    <w:basedOn w:val="801"/>
    <w:uiPriority w:val="11"/>
    <w:qFormat/>
    <w:pPr>
      <w:spacing w:before="200" w:after="200"/>
    </w:pPr>
    <w:rPr>
      <w:sz w:val="24"/>
      <w:szCs w:val="24"/>
    </w:rPr>
  </w:style>
  <w:style w:type="paragraph" w:styleId="852">
    <w:name w:val="Quote"/>
    <w:basedOn w:val="801"/>
    <w:uiPriority w:val="29"/>
    <w:qFormat/>
    <w:pPr>
      <w:ind w:left="720" w:right="720"/>
    </w:pPr>
    <w:rPr>
      <w:i/>
    </w:rPr>
  </w:style>
  <w:style w:type="paragraph" w:styleId="853">
    <w:name w:val="Intense Quote"/>
    <w:basedOn w:val="801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4">
    <w:name w:val="Header and Footer"/>
    <w:basedOn w:val="801"/>
    <w:qFormat/>
  </w:style>
  <w:style w:type="paragraph" w:styleId="855">
    <w:name w:val="Header"/>
    <w:basedOn w:val="80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56">
    <w:name w:val="Footer"/>
    <w:basedOn w:val="80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57">
    <w:name w:val="footnote text"/>
    <w:basedOn w:val="80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8">
    <w:name w:val="endnote text"/>
    <w:basedOn w:val="80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9">
    <w:name w:val="toc 1"/>
    <w:basedOn w:val="801"/>
    <w:uiPriority w:val="39"/>
    <w:unhideWhenUsed/>
    <w:pPr>
      <w:ind w:left="0" w:right="0" w:firstLine="0"/>
      <w:spacing w:before="0" w:after="57"/>
    </w:pPr>
  </w:style>
  <w:style w:type="paragraph" w:styleId="860">
    <w:name w:val="toc 2"/>
    <w:basedOn w:val="801"/>
    <w:uiPriority w:val="39"/>
    <w:unhideWhenUsed/>
    <w:pPr>
      <w:ind w:left="283" w:right="0" w:firstLine="0"/>
      <w:spacing w:before="0" w:after="57"/>
    </w:pPr>
  </w:style>
  <w:style w:type="paragraph" w:styleId="861">
    <w:name w:val="toc 3"/>
    <w:basedOn w:val="801"/>
    <w:uiPriority w:val="39"/>
    <w:unhideWhenUsed/>
    <w:pPr>
      <w:ind w:left="567" w:right="0" w:firstLine="0"/>
      <w:spacing w:before="0" w:after="57"/>
    </w:pPr>
  </w:style>
  <w:style w:type="paragraph" w:styleId="862">
    <w:name w:val="toc 4"/>
    <w:basedOn w:val="801"/>
    <w:uiPriority w:val="39"/>
    <w:unhideWhenUsed/>
    <w:pPr>
      <w:ind w:left="850" w:right="0" w:firstLine="0"/>
      <w:spacing w:before="0" w:after="57"/>
    </w:pPr>
  </w:style>
  <w:style w:type="paragraph" w:styleId="863">
    <w:name w:val="toc 5"/>
    <w:basedOn w:val="801"/>
    <w:uiPriority w:val="39"/>
    <w:unhideWhenUsed/>
    <w:pPr>
      <w:ind w:left="1134" w:right="0" w:firstLine="0"/>
      <w:spacing w:before="0" w:after="57"/>
    </w:pPr>
  </w:style>
  <w:style w:type="paragraph" w:styleId="864">
    <w:name w:val="toc 6"/>
    <w:basedOn w:val="801"/>
    <w:uiPriority w:val="39"/>
    <w:unhideWhenUsed/>
    <w:pPr>
      <w:ind w:left="1417" w:right="0" w:firstLine="0"/>
      <w:spacing w:before="0" w:after="57"/>
    </w:pPr>
  </w:style>
  <w:style w:type="paragraph" w:styleId="865">
    <w:name w:val="toc 7"/>
    <w:basedOn w:val="801"/>
    <w:uiPriority w:val="39"/>
    <w:unhideWhenUsed/>
    <w:pPr>
      <w:ind w:left="1701" w:right="0" w:firstLine="0"/>
      <w:spacing w:before="0" w:after="57"/>
    </w:pPr>
  </w:style>
  <w:style w:type="paragraph" w:styleId="866">
    <w:name w:val="toc 8"/>
    <w:basedOn w:val="801"/>
    <w:uiPriority w:val="39"/>
    <w:unhideWhenUsed/>
    <w:pPr>
      <w:ind w:left="1984" w:right="0" w:firstLine="0"/>
      <w:spacing w:before="0" w:after="57"/>
    </w:pPr>
  </w:style>
  <w:style w:type="paragraph" w:styleId="867">
    <w:name w:val="toc 9"/>
    <w:basedOn w:val="801"/>
    <w:uiPriority w:val="39"/>
    <w:unhideWhenUsed/>
    <w:pPr>
      <w:ind w:left="2268" w:right="0" w:firstLine="0"/>
      <w:spacing w:before="0" w:after="57"/>
    </w:pPr>
  </w:style>
  <w:style w:type="paragraph" w:styleId="868">
    <w:name w:val="index heading"/>
    <w:basedOn w:val="844"/>
  </w:style>
  <w:style w:type="paragraph" w:styleId="86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ru-RU" w:bidi="ar-SA"/>
    </w:rPr>
  </w:style>
  <w:style w:type="paragraph" w:styleId="870">
    <w:name w:val="table of figures"/>
    <w:basedOn w:val="801"/>
    <w:uiPriority w:val="99"/>
    <w:unhideWhenUsed/>
    <w:pPr>
      <w:spacing w:before="0" w:after="0" w:afterAutospacing="0"/>
    </w:pPr>
  </w:style>
  <w:style w:type="paragraph" w:styleId="871">
    <w:name w:val="Заголовок (user)"/>
    <w:basedOn w:val="80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72">
    <w:name w:val="Указатель (user)"/>
    <w:basedOn w:val="801"/>
    <w:qFormat/>
    <w:pPr>
      <w:suppressLineNumbers/>
    </w:pPr>
    <w:rPr>
      <w:rFonts w:ascii="PT Astra Serif" w:hAnsi="PT Astra Serif" w:cs="Noto Sans Devanagari"/>
    </w:rPr>
  </w:style>
  <w:style w:type="paragraph" w:styleId="873">
    <w:name w:val="Normal (Web)"/>
    <w:basedOn w:val="801"/>
    <w:uiPriority w:val="99"/>
    <w:qFormat/>
    <w:pPr>
      <w:spacing w:beforeAutospacing="1" w:afterAutospacing="1"/>
    </w:pPr>
  </w:style>
  <w:style w:type="paragraph" w:styleId="874">
    <w:name w:val="Balloon Text"/>
    <w:basedOn w:val="801"/>
    <w:uiPriority w:val="99"/>
    <w:qFormat/>
    <w:rPr>
      <w:rFonts w:ascii="Segoe UI" w:hAnsi="Segoe UI"/>
      <w:sz w:val="18"/>
      <w:szCs w:val="18"/>
    </w:rPr>
  </w:style>
  <w:style w:type="paragraph" w:styleId="875">
    <w:name w:val="List Paragraph"/>
    <w:basedOn w:val="801"/>
    <w:uiPriority w:val="99"/>
    <w:qFormat/>
    <w:pPr>
      <w:contextualSpacing/>
      <w:ind w:left="720" w:firstLine="0"/>
      <w:spacing w:before="0" w:after="0"/>
    </w:pPr>
  </w:style>
  <w:style w:type="numbering" w:styleId="876" w:default="1">
    <w:name w:val="Без списка"/>
    <w:uiPriority w:val="99"/>
    <w:semiHidden/>
    <w:unhideWhenUsed/>
    <w:qFormat/>
  </w:style>
  <w:style w:type="table" w:styleId="877" w:default="1">
    <w:name w:val="Normal Table"/>
    <w:uiPriority w:val="99"/>
    <w:semiHidden/>
    <w:unhideWhenUsed/>
    <w:tblPr/>
  </w:style>
  <w:style w:type="paragraph" w:styleId="878" w:customStyle="1">
    <w:name w:val="Table Paragraph"/>
    <w:basedOn w:val="681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Segoe UI" w:cs="Segoe U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table" w:styleId="879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DSR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СМИ</dc:creator>
  <dc:description/>
  <dc:language>ru-RU</dc:language>
  <cp:revision>62</cp:revision>
  <dcterms:created xsi:type="dcterms:W3CDTF">2025-02-06T10:30:00Z</dcterms:created>
  <dcterms:modified xsi:type="dcterms:W3CDTF">2026-06-25T12:58:30Z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